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spacing w:line="480" w:lineRule="exact"/>
              <w:jc w:val="center"/>
              <w:rPr>
                <w:rFonts w:ascii="宋体" w:hAnsi="宋体" w:eastAsia="宋体"/>
                <w:sz w:val="21"/>
                <w:szCs w:val="21"/>
              </w:rPr>
            </w:pPr>
            <w:r>
              <w:rPr>
                <w:rFonts w:hint="eastAsia" w:ascii="宋体" w:hAnsi="宋体" w:eastAsia="宋体"/>
                <w:bCs/>
                <w:sz w:val="21"/>
                <w:szCs w:val="21"/>
              </w:rPr>
              <w:t>苏州未来电器股份有限公司新建生产高低压开关、新能源汽车零部件项目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bookmarkStart w:id="0" w:name="_GoBack"/>
            <w:bookmarkEnd w:id="0"/>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245776F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2019-02-25T02:49:01Z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